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La maison – cours X. </w:t>
      </w:r>
    </w:p>
    <w:p>
      <w:pPr>
        <w:pStyle w:val="Normal"/>
        <w:jc w:val="center"/>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Corpus d’entraînement à la synthèse rapide : le foyer à travers les arts.</w:t>
      </w:r>
    </w:p>
    <w:p>
      <w:pPr>
        <w:pStyle w:val="Normal"/>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ind w:left="426" w:hanging="426"/>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Doc I. Alfred Hitchcock, Séquence d’ouverture de </w:t>
      </w:r>
      <w:r>
        <w:rPr>
          <w:rFonts w:cs="Calibri Light" w:ascii="Calibri Light" w:hAnsi="Calibri Light" w:asciiTheme="majorHAnsi" w:cstheme="majorHAnsi" w:hAnsiTheme="majorHAnsi"/>
          <w:i/>
          <w:iCs/>
          <w:sz w:val="24"/>
          <w:szCs w:val="24"/>
        </w:rPr>
        <w:t>Fenêtre sur Cour</w:t>
      </w:r>
      <w:r>
        <w:rPr>
          <w:rFonts w:cs="Calibri Light" w:ascii="Calibri Light" w:hAnsi="Calibri Light" w:asciiTheme="majorHAnsi" w:cstheme="majorHAnsi" w:hAnsiTheme="majorHAnsi"/>
          <w:sz w:val="24"/>
          <w:szCs w:val="24"/>
        </w:rPr>
        <w:t>, film long métrage (1954) https://www.youtube.com/watch?v=I5It0nmoYE4</w:t>
      </w:r>
    </w:p>
    <w:p>
      <w:pPr>
        <w:pStyle w:val="Normal"/>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Doc. 2. Paul Verlaine, </w:t>
      </w:r>
      <w:r>
        <w:rPr>
          <w:rFonts w:cs="Calibri Light" w:ascii="Calibri Light" w:hAnsi="Calibri Light" w:asciiTheme="majorHAnsi" w:cstheme="majorHAnsi" w:hAnsiTheme="majorHAnsi"/>
          <w:i/>
          <w:iCs/>
          <w:sz w:val="24"/>
          <w:szCs w:val="24"/>
        </w:rPr>
        <w:t>La Bonne chanson</w:t>
      </w:r>
      <w:r>
        <w:rPr>
          <w:rFonts w:cs="Calibri Light" w:ascii="Calibri Light" w:hAnsi="Calibri Light" w:asciiTheme="majorHAnsi" w:cstheme="majorHAnsi" w:hAnsiTheme="majorHAnsi"/>
          <w:sz w:val="24"/>
          <w:szCs w:val="24"/>
        </w:rPr>
        <w:t xml:space="preserve">, XIV, « Le Foyer » (1870) </w:t>
      </w:r>
    </w:p>
    <w:p>
      <w:pPr>
        <w:pStyle w:val="Normal"/>
        <w:rPr/>
      </w:pPr>
      <w:r>
        <w:rPr>
          <w:rFonts w:cs="Calibri Light" w:ascii="Calibri Light" w:hAnsi="Calibri Light" w:asciiTheme="majorHAnsi" w:cstheme="majorHAnsi" w:hAnsiTheme="majorHAnsi"/>
          <w:sz w:val="24"/>
          <w:szCs w:val="24"/>
        </w:rPr>
        <w:t xml:space="preserve">Doc </w:t>
      </w:r>
      <w:r>
        <w:rPr>
          <w:rFonts w:cs="Calibri Light" w:ascii="Calibri Light" w:hAnsi="Calibri Light" w:asciiTheme="majorHAnsi" w:cstheme="majorHAnsi" w:hAnsiTheme="majorHAnsi"/>
          <w:sz w:val="24"/>
          <w:szCs w:val="24"/>
        </w:rPr>
        <w:t>3</w:t>
      </w:r>
      <w:r>
        <w:rPr>
          <w:rFonts w:cs="Calibri Light" w:ascii="Calibri Light" w:hAnsi="Calibri Light" w:asciiTheme="majorHAnsi" w:cstheme="majorHAnsi" w:hAnsiTheme="majorHAnsi"/>
          <w:sz w:val="24"/>
          <w:szCs w:val="24"/>
        </w:rPr>
        <w:t xml:space="preserve">. Tristan Todorov, </w:t>
      </w:r>
      <w:r>
        <w:rPr>
          <w:rFonts w:cs="Calibri Light" w:ascii="Calibri Light" w:hAnsi="Calibri Light" w:asciiTheme="majorHAnsi" w:cstheme="majorHAnsi" w:hAnsiTheme="majorHAnsi"/>
          <w:i/>
          <w:iCs/>
          <w:sz w:val="24"/>
          <w:szCs w:val="24"/>
        </w:rPr>
        <w:t>Éloge du quotidien, Essai sur la peinture hollandaise du xvii</w:t>
      </w:r>
      <w:r>
        <w:rPr>
          <w:rFonts w:cs="Calibri Light" w:ascii="Calibri Light" w:hAnsi="Calibri Light" w:asciiTheme="majorHAnsi" w:cstheme="majorHAnsi" w:hAnsiTheme="majorHAnsi"/>
          <w:i/>
          <w:iCs/>
          <w:sz w:val="24"/>
          <w:szCs w:val="24"/>
          <w:vertAlign w:val="superscript"/>
        </w:rPr>
        <w:t>e</w:t>
      </w:r>
      <w:r>
        <w:rPr>
          <w:rFonts w:cs="Calibri Light" w:ascii="Calibri Light" w:hAnsi="Calibri Light" w:asciiTheme="majorHAnsi" w:cstheme="majorHAnsi" w:hAnsiTheme="majorHAnsi"/>
          <w:sz w:val="24"/>
          <w:szCs w:val="24"/>
        </w:rPr>
        <w:t xml:space="preserve"> siècle (2009).  </w:t>
      </w:r>
    </w:p>
    <w:p>
      <w:pPr>
        <w:pStyle w:val="Normal"/>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Doc </w:t>
      </w:r>
      <w:r>
        <w:rPr>
          <w:rFonts w:cs="Calibri Light" w:ascii="Calibri Light" w:hAnsi="Calibri Light" w:asciiTheme="majorHAnsi" w:cstheme="majorHAnsi" w:hAnsiTheme="majorHAnsi"/>
          <w:sz w:val="24"/>
          <w:szCs w:val="24"/>
        </w:rPr>
        <w:t>4</w:t>
      </w:r>
      <w:r>
        <w:rPr>
          <w:rFonts w:cs="Calibri Light" w:ascii="Calibri Light" w:hAnsi="Calibri Light" w:asciiTheme="majorHAnsi" w:cstheme="majorHAnsi" w:hAnsiTheme="majorHAnsi"/>
          <w:sz w:val="24"/>
          <w:szCs w:val="24"/>
        </w:rPr>
        <w:t xml:space="preserve">. Johannes Vermeer, </w:t>
      </w:r>
      <w:r>
        <w:rPr>
          <w:rFonts w:cs="Calibri Light" w:ascii="Calibri Light" w:hAnsi="Calibri Light" w:asciiTheme="majorHAnsi" w:cstheme="majorHAnsi" w:hAnsiTheme="majorHAnsi"/>
          <w:i/>
          <w:iCs/>
          <w:sz w:val="24"/>
          <w:szCs w:val="24"/>
        </w:rPr>
        <w:t>La femme au collier de perles</w:t>
      </w:r>
      <w:r>
        <w:rPr>
          <w:rFonts w:cs="Calibri Light" w:ascii="Calibri Light" w:hAnsi="Calibri Light" w:asciiTheme="majorHAnsi" w:cstheme="majorHAnsi" w:hAnsiTheme="majorHAnsi"/>
          <w:sz w:val="24"/>
          <w:szCs w:val="24"/>
        </w:rPr>
        <w:t>, huile sur toile, 55 × 45 cm (1664).</w:t>
      </w:r>
    </w:p>
    <w:p>
      <w:pPr>
        <w:pStyle w:val="Normal"/>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Doc II. Paul Verlaine, </w:t>
      </w:r>
      <w:r>
        <w:rPr>
          <w:rFonts w:cs="Calibri Light" w:ascii="Calibri Light" w:hAnsi="Calibri Light" w:asciiTheme="majorHAnsi" w:cstheme="majorHAnsi" w:hAnsiTheme="majorHAnsi"/>
          <w:b/>
          <w:bCs/>
          <w:i/>
          <w:iCs/>
          <w:sz w:val="24"/>
          <w:szCs w:val="24"/>
        </w:rPr>
        <w:t>La Bonne chanson</w:t>
      </w:r>
      <w:r>
        <w:rPr>
          <w:rFonts w:cs="Calibri Light" w:ascii="Calibri Light" w:hAnsi="Calibri Light" w:asciiTheme="majorHAnsi" w:cstheme="majorHAnsi" w:hAnsiTheme="majorHAnsi"/>
          <w:b/>
          <w:bCs/>
          <w:sz w:val="24"/>
          <w:szCs w:val="24"/>
        </w:rPr>
        <w:t>, XIV, « Le Foyer », 1870</w:t>
      </w:r>
    </w:p>
    <w:p>
      <w:pPr>
        <w:pStyle w:val="Normal"/>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 foyer, la lueur étroite de la lampe :</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 rêverie avec le doigt contre la tempe</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Et les yeux se perdant parmi les yeux aimés :</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L’heure du thé fumant et des livres fermés ;</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 douceur de sentir la fin de la soirée ;</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 fatigue charmante et l’attente adorée</w:t>
      </w:r>
    </w:p>
    <w:p>
      <w:pPr>
        <w:pStyle w:val="Normal"/>
        <w:ind w:left="851" w:hanging="0"/>
        <w:rPr/>
      </w:pPr>
      <w:r>
        <w:rPr>
          <w:rFonts w:cs="Calibri Light" w:ascii="Calibri Light" w:hAnsi="Calibri Light" w:asciiTheme="majorHAnsi" w:cstheme="majorHAnsi" w:hAnsiTheme="majorHAnsi"/>
          <w:sz w:val="24"/>
          <w:szCs w:val="24"/>
        </w:rPr>
        <w:t xml:space="preserve">De l’ombre nuptiale et de la douce nuit,  </w:t>
      </w:r>
      <w:r>
        <w:rPr>
          <w:rFonts w:cs="Calibri Light" w:ascii="Calibri Light" w:hAnsi="Calibri Light" w:asciiTheme="majorHAnsi" w:cstheme="majorHAnsi" w:hAnsiTheme="majorHAnsi"/>
          <w:b/>
          <w:bCs/>
          <w:sz w:val="24"/>
          <w:szCs w:val="24"/>
          <w:u w:val="single"/>
        </w:rPr>
        <w:t xml:space="preserve"> nuptial = relatif au mariage</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Oh ! tout cela, mon rêve attendri le poursuit</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Sans relâche, à travers toutes remises vaines,</w:t>
      </w:r>
    </w:p>
    <w:p>
      <w:pPr>
        <w:pStyle w:val="Normal"/>
        <w:ind w:left="851"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Impatient des mois, furieux des semaines !</w:t>
      </w:r>
    </w:p>
    <w:p>
      <w:pPr>
        <w:pStyle w:val="Normal"/>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Doc III. Tzvetan Todorov, </w:t>
      </w:r>
      <w:r>
        <w:rPr>
          <w:rFonts w:cs="Calibri Light" w:ascii="Calibri Light" w:hAnsi="Calibri Light" w:asciiTheme="majorHAnsi" w:cstheme="majorHAnsi" w:hAnsiTheme="majorHAnsi"/>
          <w:b/>
          <w:bCs/>
          <w:i/>
          <w:iCs/>
          <w:sz w:val="24"/>
          <w:szCs w:val="24"/>
        </w:rPr>
        <w:t>Éloge du quotidien, Essai sur la peinture hollan</w:t>
        <w:softHyphen/>
        <w:t>daise du xviie siècle</w:t>
      </w:r>
      <w:r>
        <w:rPr>
          <w:rFonts w:cs="Calibri Light" w:ascii="Calibri Light" w:hAnsi="Calibri Light" w:asciiTheme="majorHAnsi" w:cstheme="majorHAnsi" w:hAnsiTheme="majorHAnsi"/>
          <w:b/>
          <w:bCs/>
          <w:sz w:val="24"/>
          <w:szCs w:val="24"/>
        </w:rPr>
        <w:t xml:space="preserve">, 2009. </w:t>
      </w:r>
    </w:p>
    <w:p>
      <w:pPr>
        <w:pStyle w:val="Normal"/>
        <w:ind w:firstLine="708"/>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On a l’impression que, même dans ses tableaux les plus quotidiens, Vermeer se sert d’une thématique plutôt qu’il ne la sert. Comment assimiler à la simple représentation des métiers des tableaux comme </w:t>
      </w:r>
      <w:r>
        <w:rPr>
          <w:rFonts w:cs="Calibri Light" w:ascii="Calibri Light" w:hAnsi="Calibri Light" w:asciiTheme="majorHAnsi" w:cstheme="majorHAnsi" w:hAnsiTheme="majorHAnsi"/>
          <w:i/>
          <w:iCs/>
          <w:sz w:val="24"/>
          <w:szCs w:val="24"/>
        </w:rPr>
        <w:t>L’Astronome</w:t>
      </w:r>
      <w:r>
        <w:rPr>
          <w:rFonts w:cs="Calibri Light" w:ascii="Calibri Light" w:hAnsi="Calibri Light" w:asciiTheme="majorHAnsi" w:cstheme="majorHAnsi" w:hAnsiTheme="majorHAnsi"/>
          <w:sz w:val="24"/>
          <w:szCs w:val="24"/>
        </w:rPr>
        <w:t xml:space="preserve"> ou </w:t>
      </w:r>
      <w:r>
        <w:rPr>
          <w:rFonts w:cs="Calibri Light" w:ascii="Calibri Light" w:hAnsi="Calibri Light" w:asciiTheme="majorHAnsi" w:cstheme="majorHAnsi" w:hAnsiTheme="majorHAnsi"/>
          <w:i/>
          <w:iCs/>
          <w:sz w:val="24"/>
          <w:szCs w:val="24"/>
        </w:rPr>
        <w:t>Le Géographe</w:t>
      </w:r>
      <w:r>
        <w:rPr>
          <w:rFonts w:cs="Calibri Light" w:ascii="Calibri Light" w:hAnsi="Calibri Light" w:asciiTheme="majorHAnsi" w:cstheme="majorHAnsi" w:hAnsiTheme="majorHAnsi"/>
          <w:sz w:val="24"/>
          <w:szCs w:val="24"/>
        </w:rPr>
        <w:t xml:space="preserve"> qui, d’une part, se rapprochent des allégories par l’accumulation d’accessoires, et apparaissent d’une autre comme un éloge de l’esprit plutôt que de la matière ? Ou à une scène quotidienne le geste pour pourtant parfaitement banal de </w:t>
      </w:r>
      <w:r>
        <w:rPr>
          <w:rFonts w:cs="Calibri Light" w:ascii="Calibri Light" w:hAnsi="Calibri Light" w:asciiTheme="majorHAnsi" w:cstheme="majorHAnsi" w:hAnsiTheme="majorHAnsi"/>
          <w:i/>
          <w:iCs/>
          <w:sz w:val="24"/>
          <w:szCs w:val="24"/>
        </w:rPr>
        <w:t>La Laitière</w:t>
      </w:r>
      <w:r>
        <w:rPr>
          <w:rFonts w:cs="Calibri Light" w:ascii="Calibri Light" w:hAnsi="Calibri Light" w:asciiTheme="majorHAnsi" w:cstheme="majorHAnsi" w:hAnsiTheme="majorHAnsi"/>
          <w:sz w:val="24"/>
          <w:szCs w:val="24"/>
        </w:rPr>
        <w:t xml:space="preserve">, une image qui souffre aujourd’hui d’une autre espèce de banalité, tant elle nous est familière par ses innombrables reproductions ? Par l’intensité avec laquelle sont peints tous les objets, par la monumentalité accordée à la femme, nous nous trouvons insensiblement amenés à dépasser la scène que nous avons sous les yeux. Regardons, encore et encore, </w:t>
      </w:r>
      <w:r>
        <w:rPr>
          <w:rFonts w:cs="Calibri Light" w:ascii="Calibri Light" w:hAnsi="Calibri Light" w:asciiTheme="majorHAnsi" w:cstheme="majorHAnsi" w:hAnsiTheme="majorHAnsi"/>
          <w:i/>
          <w:iCs/>
          <w:sz w:val="24"/>
          <w:szCs w:val="24"/>
        </w:rPr>
        <w:t xml:space="preserve">Le Collier de perles </w:t>
      </w:r>
      <w:r>
        <w:rPr>
          <w:rFonts w:cs="Calibri Light" w:ascii="Calibri Light" w:hAnsi="Calibri Light" w:asciiTheme="majorHAnsi" w:cstheme="majorHAnsi" w:hAnsiTheme="majorHAnsi"/>
          <w:sz w:val="24"/>
          <w:szCs w:val="24"/>
        </w:rPr>
        <w:t xml:space="preserve">: cette femme est bien engagée dans une action quotidienne, elle essaie un nouveau collier ; mais la précision avec laquelle sont peints tous les objets, la répartition rigoureuse de la lumière et les ombres, le dépouillement de l’espace et, surtout, l’immobilité sereine de la femme, qu’il extrait du monde réel pour la maintenir dans une sorte de royaume enchanté. Tout cela fait que nous quittons à notre tour le monde représenté et nous nous installons avec volupté dans le tableau lui-même. [...] Vermeer donne l’impression de peindre des tableaux plutôt que des êtres ; ce n’est pas le monde humain qui l’intéresse au premier chef, c’est celui de la peinture. </w:t>
      </w:r>
    </w:p>
    <w:p>
      <w:pPr>
        <w:pStyle w:val="Normal"/>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Doc 4. Johannes Vermeer, </w:t>
      </w:r>
      <w:r>
        <w:rPr>
          <w:rFonts w:cs="Calibri Light" w:ascii="Calibri Light" w:hAnsi="Calibri Light" w:asciiTheme="majorHAnsi" w:cstheme="majorHAnsi" w:hAnsiTheme="majorHAnsi"/>
          <w:b/>
          <w:bCs/>
          <w:i/>
          <w:iCs/>
          <w:sz w:val="24"/>
          <w:szCs w:val="24"/>
        </w:rPr>
        <w:t>La femme au collier de perles</w:t>
      </w:r>
      <w:r>
        <w:rPr>
          <w:rFonts w:cs="Calibri Light" w:ascii="Calibri Light" w:hAnsi="Calibri Light" w:asciiTheme="majorHAnsi" w:cstheme="majorHAnsi" w:hAnsiTheme="majorHAnsi"/>
          <w:b/>
          <w:bCs/>
          <w:sz w:val="24"/>
          <w:szCs w:val="24"/>
        </w:rPr>
        <w:t xml:space="preserve">, huile sur toile, 55 × 45 cm, 1664. </w:t>
      </w:r>
    </w:p>
    <w:p>
      <w:pPr>
        <w:pStyle w:val="Normal"/>
        <w:spacing w:before="0" w:after="160"/>
        <w:jc w:val="center"/>
        <w:rPr/>
      </w:pPr>
      <w:r>
        <w:rPr/>
        <w:drawing>
          <wp:inline distT="0" distB="0" distL="0" distR="0">
            <wp:extent cx="5047615" cy="5880100"/>
            <wp:effectExtent l="0" t="0" r="0" b="0"/>
            <wp:docPr id="1" name="Image 1" descr="Image dans Inf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age dans Infobox."/>
                    <pic:cNvPicPr>
                      <a:picLocks noChangeAspect="1" noChangeArrowheads="1"/>
                    </pic:cNvPicPr>
                  </pic:nvPicPr>
                  <pic:blipFill>
                    <a:blip r:embed="rId2"/>
                    <a:stretch>
                      <a:fillRect/>
                    </a:stretch>
                  </pic:blipFill>
                  <pic:spPr bwMode="auto">
                    <a:xfrm>
                      <a:off x="0" y="0"/>
                      <a:ext cx="5047615" cy="5880100"/>
                    </a:xfrm>
                    <a:prstGeom prst="rect">
                      <a:avLst/>
                    </a:prstGeom>
                  </pic:spPr>
                </pic:pic>
              </a:graphicData>
            </a:graphic>
          </wp:inline>
        </w:drawing>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Light">
    <w:charset w:val="00"/>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c60ef8"/>
    <w:rPr>
      <w:color w:val="0000FF"/>
      <w:u w:val="single"/>
    </w:rPr>
  </w:style>
  <w:style w:type="character" w:styleId="UnresolvedMention">
    <w:name w:val="Unresolved Mention"/>
    <w:basedOn w:val="DefaultParagraphFont"/>
    <w:uiPriority w:val="99"/>
    <w:semiHidden/>
    <w:unhideWhenUsed/>
    <w:qFormat/>
    <w:rsid w:val="0083132f"/>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LibreOffice/6.0.5.2$Windows_x86 LibreOffice_project/54c8cbb85f300ac59db32fe8a675ff7683cd5a16</Application>
  <Pages>2</Pages>
  <Words>459</Words>
  <Characters>2271</Characters>
  <CharactersWithSpaces>2720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2022-01-02T17:51:00Z</dcterms:created>
  <dc:creator>Florent Libral</dc:creator>
  <dc:description/>
  <dc:language>fr-FR</dc:language>
  <cp:lastModifiedBy/>
  <dcterms:modified xsi:type="dcterms:W3CDTF">2022-01-10T09:52:01Z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