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C5BD" w14:textId="21852543" w:rsidR="00642095" w:rsidRDefault="00A7199F">
      <w:r>
        <w:t xml:space="preserve">Classicisme et Lumières </w:t>
      </w:r>
    </w:p>
    <w:p w14:paraId="0BF34D51" w14:textId="0FE9C4F7" w:rsidR="00A7199F" w:rsidRDefault="00A7199F"/>
    <w:tbl>
      <w:tblPr>
        <w:tblStyle w:val="Grilledutableau"/>
        <w:tblW w:w="0" w:type="auto"/>
        <w:tblLook w:val="04A0" w:firstRow="1" w:lastRow="0" w:firstColumn="1" w:lastColumn="0" w:noHBand="0" w:noVBand="1"/>
      </w:tblPr>
      <w:tblGrid>
        <w:gridCol w:w="1320"/>
        <w:gridCol w:w="1597"/>
        <w:gridCol w:w="7637"/>
        <w:gridCol w:w="3440"/>
      </w:tblGrid>
      <w:tr w:rsidR="00792F93" w14:paraId="01FD290E" w14:textId="77777777" w:rsidTr="00792F93">
        <w:tc>
          <w:tcPr>
            <w:tcW w:w="1320" w:type="dxa"/>
          </w:tcPr>
          <w:p w14:paraId="59CC3B90" w14:textId="77777777" w:rsidR="00A7199F" w:rsidRDefault="00A7199F"/>
        </w:tc>
        <w:tc>
          <w:tcPr>
            <w:tcW w:w="1369" w:type="dxa"/>
          </w:tcPr>
          <w:p w14:paraId="0B15EA58" w14:textId="77777777" w:rsidR="00A7199F" w:rsidRDefault="00A7199F"/>
        </w:tc>
        <w:tc>
          <w:tcPr>
            <w:tcW w:w="7810" w:type="dxa"/>
          </w:tcPr>
          <w:p w14:paraId="62CBDC14" w14:textId="69B18BFB" w:rsidR="00A7199F" w:rsidRDefault="00A7199F">
            <w:r>
              <w:t xml:space="preserve">En littérature </w:t>
            </w:r>
          </w:p>
        </w:tc>
        <w:tc>
          <w:tcPr>
            <w:tcW w:w="3495" w:type="dxa"/>
          </w:tcPr>
          <w:p w14:paraId="41C6C840" w14:textId="0E615AD3" w:rsidR="00A7199F" w:rsidRPr="00792F93" w:rsidRDefault="00792F93">
            <w:pPr>
              <w:rPr>
                <w:b/>
                <w:bCs/>
              </w:rPr>
            </w:pPr>
            <w:r w:rsidRPr="00792F93">
              <w:rPr>
                <w:b/>
                <w:bCs/>
              </w:rPr>
              <w:t xml:space="preserve">Exemple d’auteur avec 5 faits importants </w:t>
            </w:r>
          </w:p>
        </w:tc>
      </w:tr>
      <w:tr w:rsidR="00792F93" w:rsidRPr="00B64198" w14:paraId="7341BACD" w14:textId="77777777" w:rsidTr="00792F93">
        <w:tc>
          <w:tcPr>
            <w:tcW w:w="1320" w:type="dxa"/>
          </w:tcPr>
          <w:p w14:paraId="23C660D0" w14:textId="77777777" w:rsidR="00A7199F" w:rsidRDefault="00A7199F">
            <w:r>
              <w:t xml:space="preserve">Mouvement classique ou classicisme </w:t>
            </w:r>
          </w:p>
          <w:p w14:paraId="681C9D7B" w14:textId="6931097E" w:rsidR="00A7199F" w:rsidRDefault="00A7199F">
            <w:r>
              <w:t>(1660-1715)</w:t>
            </w:r>
          </w:p>
        </w:tc>
        <w:tc>
          <w:tcPr>
            <w:tcW w:w="1369" w:type="dxa"/>
          </w:tcPr>
          <w:p w14:paraId="79D2CDD9" w14:textId="77777777" w:rsidR="00A7199F" w:rsidRDefault="00A7199F">
            <w:r>
              <w:t xml:space="preserve">Mouvement qui correspond à la fois : </w:t>
            </w:r>
          </w:p>
          <w:p w14:paraId="165F0D91" w14:textId="77777777" w:rsidR="00A7199F" w:rsidRDefault="00A7199F">
            <w:r>
              <w:t xml:space="preserve">-à une tendance de l’esprit du XVIIe siècle vers la clarté de la langue et la raison. </w:t>
            </w:r>
          </w:p>
          <w:p w14:paraId="1C0FC8A6" w14:textId="77777777" w:rsidR="00A7199F" w:rsidRDefault="00A7199F">
            <w:r>
              <w:t xml:space="preserve">- à la politique culturelle personnelle de Louis XIV </w:t>
            </w:r>
          </w:p>
          <w:p w14:paraId="74448717" w14:textId="77777777" w:rsidR="00A7199F" w:rsidRDefault="00A7199F"/>
          <w:p w14:paraId="7A97D33E" w14:textId="77777777" w:rsidR="00A7199F" w:rsidRDefault="00A7199F"/>
          <w:p w14:paraId="2CD255A6" w14:textId="29A4E634" w:rsidR="00A7199F" w:rsidRDefault="00792F93">
            <w:r>
              <w:t xml:space="preserve">Ses limites chronologiques sont celles du règne personnel de Louis XIV </w:t>
            </w:r>
          </w:p>
        </w:tc>
        <w:tc>
          <w:tcPr>
            <w:tcW w:w="7810" w:type="dxa"/>
          </w:tcPr>
          <w:p w14:paraId="2F22ADB3" w14:textId="61937F3F" w:rsidR="00A7199F" w:rsidRDefault="00A7199F" w:rsidP="00A7199F">
            <w:r w:rsidRPr="00A7199F">
              <w:rPr>
                <w:b/>
                <w:bCs/>
              </w:rPr>
              <w:t>Théâtre :</w:t>
            </w:r>
            <w:r>
              <w:t xml:space="preserve"> Le mouvement se marque particulièrement dans la dramaturgie, la tendance des érudits du XVIIe siècle à vouloir régenter le théâtre et lui imposer des règles : </w:t>
            </w:r>
          </w:p>
          <w:p w14:paraId="223BD533" w14:textId="77777777" w:rsidR="00A7199F" w:rsidRDefault="00A7199F" w:rsidP="00A7199F">
            <w:r>
              <w:t xml:space="preserve">-unité de temps, de lieu et d’action ; </w:t>
            </w:r>
          </w:p>
          <w:p w14:paraId="038D2D38" w14:textId="529B24F6" w:rsidR="00A7199F" w:rsidRDefault="00A7199F" w:rsidP="00A7199F">
            <w:r>
              <w:t xml:space="preserve">-unité de ton : comique ou tragique, par opposition à la tragi-comédie baroque.  </w:t>
            </w:r>
          </w:p>
          <w:p w14:paraId="24E5C3F1" w14:textId="461A7363" w:rsidR="00A7199F" w:rsidRDefault="00A7199F" w:rsidP="00A7199F">
            <w:r>
              <w:t>-vraisemblance et bienséance (conformité de l’action au bon sens et aux règles de décence morale)</w:t>
            </w:r>
          </w:p>
          <w:p w14:paraId="3DE6101E" w14:textId="77777777" w:rsidR="00A7199F" w:rsidRDefault="00A7199F" w:rsidP="00A7199F">
            <w:r>
              <w:t xml:space="preserve">Toutefois beaucoup de pièces ne respectent pas une ou plusieurs de ces règles : voir le Dom Juan de Molière qui a plusieurs décors, mélange éléments comiques et tragiques… </w:t>
            </w:r>
          </w:p>
          <w:p w14:paraId="673DA93A" w14:textId="7D5E03D3" w:rsidR="00A7199F" w:rsidRPr="00A7199F" w:rsidRDefault="00A7199F" w:rsidP="00A7199F">
            <w:pPr>
              <w:ind w:left="708"/>
              <w:rPr>
                <w:sz w:val="20"/>
                <w:szCs w:val="20"/>
              </w:rPr>
            </w:pPr>
            <w:r w:rsidRPr="00A7199F">
              <w:rPr>
                <w:sz w:val="20"/>
                <w:szCs w:val="20"/>
              </w:rPr>
              <w:t xml:space="preserve">Avec Molière, la comédie s’oriente vers la satire sociale et un comique fondé sur la monomanie (idée fixe qui rend le personnage ridicule) ex : Arnolphe ne veut pas être cocu. </w:t>
            </w:r>
          </w:p>
          <w:p w14:paraId="1AC5A705" w14:textId="10B00334" w:rsidR="00A7199F" w:rsidRPr="00A7199F" w:rsidRDefault="00A7199F" w:rsidP="00A7199F">
            <w:pPr>
              <w:ind w:left="708"/>
              <w:rPr>
                <w:sz w:val="20"/>
                <w:szCs w:val="20"/>
              </w:rPr>
            </w:pPr>
            <w:r w:rsidRPr="00A7199F">
              <w:rPr>
                <w:sz w:val="20"/>
                <w:szCs w:val="20"/>
              </w:rPr>
              <w:t xml:space="preserve">Avec Racine, le théâtre tragique se fait plus intérieur, plus psychologique (ex : Phèdre, analyse d’une passion amoureuse destructrice) </w:t>
            </w:r>
          </w:p>
          <w:p w14:paraId="2E3397EC" w14:textId="77777777" w:rsidR="00A7199F" w:rsidRDefault="00A7199F" w:rsidP="00A7199F"/>
          <w:p w14:paraId="53093428" w14:textId="67124AEF" w:rsidR="00A7199F" w:rsidRDefault="00A7199F" w:rsidP="00A7199F">
            <w:r w:rsidRPr="00A7199F">
              <w:rPr>
                <w:b/>
                <w:bCs/>
              </w:rPr>
              <w:t>Roman :</w:t>
            </w:r>
            <w:r>
              <w:t xml:space="preserve"> le récit narre principalement des aventures amoureuses, dans un style qui emprunte beaucoup à la narration historique et à l’écriture moraliste (Mme de La Fayette, </w:t>
            </w:r>
            <w:r w:rsidRPr="00792F93">
              <w:rPr>
                <w:i/>
                <w:iCs/>
              </w:rPr>
              <w:t>La Princesse de Clèves</w:t>
            </w:r>
            <w:r>
              <w:t xml:space="preserve"> ; César de Saint-Réal, </w:t>
            </w:r>
            <w:r w:rsidRPr="00792F93">
              <w:rPr>
                <w:i/>
                <w:iCs/>
              </w:rPr>
              <w:t>Dom Carlos</w:t>
            </w:r>
            <w:r>
              <w:t xml:space="preserve">). </w:t>
            </w:r>
          </w:p>
          <w:p w14:paraId="43D1A504" w14:textId="5CB45D66" w:rsidR="00A7199F" w:rsidRDefault="00A7199F" w:rsidP="00A7199F"/>
          <w:p w14:paraId="0E6FEED2" w14:textId="08B0B2F6" w:rsidR="00A7199F" w:rsidRDefault="00A7199F" w:rsidP="00A7199F">
            <w:r w:rsidRPr="00792F93">
              <w:rPr>
                <w:b/>
                <w:bCs/>
              </w:rPr>
              <w:t>Genres courts</w:t>
            </w:r>
            <w:r>
              <w:t xml:space="preserve"> : les genres courts sont réinvestis par les satiristes et les moralistes qui tentent de percer les mystères du cœur humain. </w:t>
            </w:r>
            <w:proofErr w:type="spellStart"/>
            <w:r>
              <w:t>Francois</w:t>
            </w:r>
            <w:proofErr w:type="spellEnd"/>
            <w:r>
              <w:t xml:space="preserve"> de La Rochefoucauld, </w:t>
            </w:r>
            <w:r w:rsidRPr="00A7199F">
              <w:rPr>
                <w:i/>
                <w:iCs/>
              </w:rPr>
              <w:t>Maximes</w:t>
            </w:r>
            <w:r>
              <w:t xml:space="preserve">. </w:t>
            </w:r>
          </w:p>
          <w:p w14:paraId="1C2C833E" w14:textId="4391FFA5" w:rsidR="00A7199F" w:rsidRDefault="00A7199F" w:rsidP="00A7199F">
            <w:r>
              <w:t xml:space="preserve"> </w:t>
            </w:r>
          </w:p>
        </w:tc>
        <w:tc>
          <w:tcPr>
            <w:tcW w:w="3495" w:type="dxa"/>
          </w:tcPr>
          <w:p w14:paraId="4FA36F84" w14:textId="77777777" w:rsidR="00A7199F" w:rsidRPr="00B64198" w:rsidRDefault="00792F93">
            <w:pPr>
              <w:rPr>
                <w:b/>
                <w:bCs/>
                <w:sz w:val="20"/>
                <w:szCs w:val="20"/>
              </w:rPr>
            </w:pPr>
            <w:r w:rsidRPr="00B64198">
              <w:rPr>
                <w:b/>
                <w:bCs/>
                <w:sz w:val="20"/>
                <w:szCs w:val="20"/>
              </w:rPr>
              <w:t xml:space="preserve">Jean de La Bruyère (1645-1696) </w:t>
            </w:r>
          </w:p>
          <w:p w14:paraId="5FDFC4A6" w14:textId="77777777" w:rsidR="00792F93" w:rsidRPr="00B64198" w:rsidRDefault="00792F93">
            <w:pPr>
              <w:rPr>
                <w:sz w:val="20"/>
                <w:szCs w:val="20"/>
              </w:rPr>
            </w:pPr>
            <w:r w:rsidRPr="00B64198">
              <w:rPr>
                <w:sz w:val="20"/>
                <w:szCs w:val="20"/>
              </w:rPr>
              <w:t xml:space="preserve">Moraliste et satiriste français </w:t>
            </w:r>
          </w:p>
          <w:p w14:paraId="48EA260D" w14:textId="77777777" w:rsidR="00792F93" w:rsidRPr="00B64198" w:rsidRDefault="00792F93">
            <w:pPr>
              <w:rPr>
                <w:sz w:val="20"/>
                <w:szCs w:val="20"/>
              </w:rPr>
            </w:pPr>
          </w:p>
          <w:p w14:paraId="14922E27" w14:textId="77777777" w:rsidR="00792F93" w:rsidRPr="00B64198" w:rsidRDefault="00792F93" w:rsidP="00792F93">
            <w:pPr>
              <w:rPr>
                <w:sz w:val="20"/>
                <w:szCs w:val="20"/>
              </w:rPr>
            </w:pPr>
            <w:r w:rsidRPr="00B64198">
              <w:rPr>
                <w:sz w:val="20"/>
                <w:szCs w:val="20"/>
              </w:rPr>
              <w:t>1. Origine : famille bourgeoise de profession judiciaire</w:t>
            </w:r>
            <w:r w:rsidR="00B64198" w:rsidRPr="00B64198">
              <w:rPr>
                <w:sz w:val="20"/>
                <w:szCs w:val="20"/>
              </w:rPr>
              <w:t xml:space="preserve">. Spécialiste de droit, il achète en 1673 une charge anoblissante de trésorier à Caen. </w:t>
            </w:r>
            <w:r w:rsidRPr="00B64198">
              <w:rPr>
                <w:sz w:val="20"/>
                <w:szCs w:val="20"/>
              </w:rPr>
              <w:t xml:space="preserve"> </w:t>
            </w:r>
          </w:p>
          <w:p w14:paraId="14CA796E" w14:textId="77777777" w:rsidR="00B64198" w:rsidRPr="00B64198" w:rsidRDefault="00B64198" w:rsidP="00792F93">
            <w:pPr>
              <w:rPr>
                <w:sz w:val="20"/>
                <w:szCs w:val="20"/>
              </w:rPr>
            </w:pPr>
          </w:p>
          <w:p w14:paraId="0FBF0EDA" w14:textId="085B84B3" w:rsidR="00B64198" w:rsidRPr="00B64198" w:rsidRDefault="00B64198" w:rsidP="00792F93">
            <w:pPr>
              <w:rPr>
                <w:sz w:val="20"/>
                <w:szCs w:val="20"/>
              </w:rPr>
            </w:pPr>
            <w:r w:rsidRPr="00B64198">
              <w:rPr>
                <w:sz w:val="20"/>
                <w:szCs w:val="20"/>
              </w:rPr>
              <w:t xml:space="preserve">2. Dépouillé de son argent par un vol, La Bruyère devient précepteur (professeur privé) chargé de l’éducation d’enfants de la haute noblesse, dont la famille de Condé (1685) ce qui lui permet d’entrer au service de proches de la famille royale. </w:t>
            </w:r>
          </w:p>
          <w:p w14:paraId="112A7077" w14:textId="77777777" w:rsidR="00B64198" w:rsidRPr="00B64198" w:rsidRDefault="00B64198" w:rsidP="00792F93">
            <w:pPr>
              <w:rPr>
                <w:sz w:val="20"/>
                <w:szCs w:val="20"/>
              </w:rPr>
            </w:pPr>
          </w:p>
          <w:p w14:paraId="3A31F1A9" w14:textId="39FE8EBC" w:rsidR="00B64198" w:rsidRPr="00B64198" w:rsidRDefault="00B64198" w:rsidP="00792F93">
            <w:pPr>
              <w:rPr>
                <w:sz w:val="20"/>
                <w:szCs w:val="20"/>
              </w:rPr>
            </w:pPr>
            <w:r w:rsidRPr="00B64198">
              <w:rPr>
                <w:sz w:val="20"/>
                <w:szCs w:val="20"/>
              </w:rPr>
              <w:t xml:space="preserve">3. LB était appuyé par Bossuet qui le recommanda dans une de ses charges de précepteur. Il participait aux travaux du « Petit Concile », groupe d’intellectuels catholiques constitué par Bossuet afin de donner une bonne image de la religion dans les milieux de la haute société. </w:t>
            </w:r>
          </w:p>
          <w:p w14:paraId="75B6959D" w14:textId="7896A7A3" w:rsidR="00B64198" w:rsidRPr="00B64198" w:rsidRDefault="00B64198" w:rsidP="00792F93">
            <w:pPr>
              <w:rPr>
                <w:sz w:val="20"/>
                <w:szCs w:val="20"/>
              </w:rPr>
            </w:pPr>
          </w:p>
          <w:p w14:paraId="46A9FEF1" w14:textId="7503A5D7" w:rsidR="00B64198" w:rsidRPr="00B64198" w:rsidRDefault="00B64198" w:rsidP="00792F93">
            <w:pPr>
              <w:rPr>
                <w:sz w:val="20"/>
                <w:szCs w:val="20"/>
              </w:rPr>
            </w:pPr>
            <w:r w:rsidRPr="00B64198">
              <w:rPr>
                <w:sz w:val="20"/>
                <w:szCs w:val="20"/>
              </w:rPr>
              <w:t xml:space="preserve">4. La Bruyère resta une grande partie de sa vie à Paris et Versailles, au service de la famille de Condé comme bibliothécaire. </w:t>
            </w:r>
            <w:r>
              <w:rPr>
                <w:sz w:val="20"/>
                <w:szCs w:val="20"/>
              </w:rPr>
              <w:t xml:space="preserve">Son statut de gentilhomme servant en faisait un subalterne et il fut sans doute l’objet </w:t>
            </w:r>
            <w:r>
              <w:rPr>
                <w:sz w:val="20"/>
                <w:szCs w:val="20"/>
              </w:rPr>
              <w:lastRenderedPageBreak/>
              <w:t>de moqueries. Il ne fut jamais réellement riche</w:t>
            </w:r>
            <w:r w:rsidR="006947B0">
              <w:rPr>
                <w:sz w:val="20"/>
                <w:szCs w:val="20"/>
              </w:rPr>
              <w:t xml:space="preserve">. </w:t>
            </w:r>
          </w:p>
          <w:p w14:paraId="0406DB41" w14:textId="1615ECE9" w:rsidR="00B64198" w:rsidRPr="00B64198" w:rsidRDefault="00B64198" w:rsidP="00792F93">
            <w:pPr>
              <w:rPr>
                <w:sz w:val="20"/>
                <w:szCs w:val="20"/>
              </w:rPr>
            </w:pPr>
          </w:p>
          <w:p w14:paraId="622E6522" w14:textId="441D2043" w:rsidR="00B64198" w:rsidRPr="00B64198" w:rsidRDefault="00B64198" w:rsidP="00792F93">
            <w:pPr>
              <w:rPr>
                <w:sz w:val="20"/>
                <w:szCs w:val="20"/>
              </w:rPr>
            </w:pPr>
            <w:r w:rsidRPr="00B64198">
              <w:rPr>
                <w:sz w:val="20"/>
                <w:szCs w:val="20"/>
              </w:rPr>
              <w:t xml:space="preserve">5. les Caractères sont une œuvre plusieurs fois remaniée, avec 9 éditions qui, à part la dernière, ajoutèrent de nouvelles remarques. Ils sont inspirés des caractères du philosophe antique Théophraste. </w:t>
            </w:r>
          </w:p>
          <w:p w14:paraId="7F611D03" w14:textId="77777777" w:rsidR="00B64198" w:rsidRPr="00B64198" w:rsidRDefault="00B64198" w:rsidP="00792F93">
            <w:pPr>
              <w:rPr>
                <w:sz w:val="20"/>
                <w:szCs w:val="20"/>
              </w:rPr>
            </w:pPr>
          </w:p>
          <w:p w14:paraId="72B3B55E" w14:textId="2910AA47" w:rsidR="00B64198" w:rsidRPr="00B64198" w:rsidRDefault="00B64198" w:rsidP="00792F93">
            <w:pPr>
              <w:rPr>
                <w:sz w:val="20"/>
                <w:szCs w:val="20"/>
              </w:rPr>
            </w:pPr>
          </w:p>
        </w:tc>
      </w:tr>
      <w:tr w:rsidR="00792F93" w:rsidRPr="00B64198" w14:paraId="74FED6E9" w14:textId="77777777" w:rsidTr="00792F93">
        <w:tc>
          <w:tcPr>
            <w:tcW w:w="1320" w:type="dxa"/>
          </w:tcPr>
          <w:p w14:paraId="4E2B7AD3" w14:textId="77777777" w:rsidR="00A7199F" w:rsidRDefault="006947B0">
            <w:r>
              <w:lastRenderedPageBreak/>
              <w:t xml:space="preserve">Les Lumières </w:t>
            </w:r>
          </w:p>
          <w:p w14:paraId="3BA83ACA" w14:textId="1F2EE53B" w:rsidR="006947B0" w:rsidRPr="00B64198" w:rsidRDefault="006947B0">
            <w:r>
              <w:t>(v. 1715-1789)</w:t>
            </w:r>
          </w:p>
        </w:tc>
        <w:tc>
          <w:tcPr>
            <w:tcW w:w="1369" w:type="dxa"/>
          </w:tcPr>
          <w:p w14:paraId="3FE43C03" w14:textId="78306672" w:rsidR="00A7199F" w:rsidRPr="00B64198" w:rsidRDefault="006947B0">
            <w:r>
              <w:t xml:space="preserve">Le mouvement correspond à la fois à une revendication des individus à s’émanciper de la société afin de connaître le bonheur et la liberté, ainsi qu’à une contestation de l’ordre hiérarchique de la société d’Ancien Régime. </w:t>
            </w:r>
          </w:p>
        </w:tc>
        <w:tc>
          <w:tcPr>
            <w:tcW w:w="7810" w:type="dxa"/>
          </w:tcPr>
          <w:p w14:paraId="6256DA23" w14:textId="77777777" w:rsidR="00A7199F" w:rsidRPr="00BF6D3F" w:rsidRDefault="000C215C">
            <w:pPr>
              <w:rPr>
                <w:b/>
                <w:bCs/>
              </w:rPr>
            </w:pPr>
            <w:r w:rsidRPr="00BF6D3F">
              <w:rPr>
                <w:b/>
                <w:bCs/>
              </w:rPr>
              <w:t xml:space="preserve">Les genres littéraires majeurs : </w:t>
            </w:r>
          </w:p>
          <w:p w14:paraId="1ED1D3F2" w14:textId="77777777" w:rsidR="000C215C" w:rsidRDefault="000C215C"/>
          <w:p w14:paraId="76904730" w14:textId="77777777" w:rsidR="000C215C" w:rsidRDefault="000C215C" w:rsidP="000C215C">
            <w:r>
              <w:t xml:space="preserve">- Le conte philosophique, permettant de diffuser une pensée novatrice sous le vernis de la fiction ; </w:t>
            </w:r>
          </w:p>
          <w:p w14:paraId="069EE3E1" w14:textId="77777777" w:rsidR="000C215C" w:rsidRDefault="000C215C" w:rsidP="000C215C"/>
          <w:p w14:paraId="75467C7A" w14:textId="0D4EC1E8" w:rsidR="000C215C" w:rsidRDefault="000C215C" w:rsidP="000C215C">
            <w:pPr>
              <w:pStyle w:val="Paragraphedeliste"/>
              <w:numPr>
                <w:ilvl w:val="0"/>
                <w:numId w:val="5"/>
              </w:numPr>
              <w:jc w:val="both"/>
            </w:pPr>
            <w:r>
              <w:t>L’éloquence politique (Olympe de Gouges</w:t>
            </w:r>
            <w:r w:rsidR="008A3A44">
              <w:t>, Discours des droits de la femme et de la citoyenne</w:t>
            </w:r>
            <w:r>
              <w:t>)</w:t>
            </w:r>
          </w:p>
          <w:p w14:paraId="3C2B3F8D" w14:textId="77777777" w:rsidR="000C215C" w:rsidRDefault="000C215C" w:rsidP="000C215C">
            <w:pPr>
              <w:jc w:val="both"/>
            </w:pPr>
          </w:p>
          <w:p w14:paraId="700A8E7F" w14:textId="19998D21" w:rsidR="000C215C" w:rsidRDefault="000C215C" w:rsidP="000C215C">
            <w:pPr>
              <w:pStyle w:val="Paragraphedeliste"/>
              <w:numPr>
                <w:ilvl w:val="0"/>
                <w:numId w:val="5"/>
              </w:numPr>
              <w:jc w:val="both"/>
            </w:pPr>
            <w:r>
              <w:t>Le dialogue (</w:t>
            </w:r>
            <w:r w:rsidR="008A3A44">
              <w:t>D</w:t>
            </w:r>
            <w:r>
              <w:t>iderot, Le Neveu de Rameau</w:t>
            </w:r>
            <w:r w:rsidR="008A3A44">
              <w:t>, Le rêve de d’Alembert</w:t>
            </w:r>
            <w:r>
              <w:t>)</w:t>
            </w:r>
          </w:p>
          <w:p w14:paraId="6009A30F" w14:textId="77777777" w:rsidR="000C215C" w:rsidRDefault="000C215C" w:rsidP="000C215C">
            <w:pPr>
              <w:pStyle w:val="Paragraphedeliste"/>
            </w:pPr>
          </w:p>
          <w:p w14:paraId="0443E700" w14:textId="77777777" w:rsidR="000C215C" w:rsidRDefault="000C215C" w:rsidP="000C215C">
            <w:pPr>
              <w:pStyle w:val="Paragraphedeliste"/>
              <w:numPr>
                <w:ilvl w:val="0"/>
                <w:numId w:val="5"/>
              </w:numPr>
              <w:jc w:val="both"/>
            </w:pPr>
            <w:r>
              <w:t xml:space="preserve">Le théâtre, qui délaisse souvent l’Antiquité pour le monde contemporain : voir les comédies de Marivaux. </w:t>
            </w:r>
          </w:p>
          <w:p w14:paraId="3C019230" w14:textId="77777777" w:rsidR="008D6F53" w:rsidRDefault="008D6F53" w:rsidP="008D6F53">
            <w:pPr>
              <w:pStyle w:val="Paragraphedeliste"/>
            </w:pPr>
          </w:p>
          <w:p w14:paraId="31DF16C2" w14:textId="7B28FECD" w:rsidR="008D6F53" w:rsidRPr="00B64198" w:rsidRDefault="008D6F53" w:rsidP="000C215C">
            <w:pPr>
              <w:pStyle w:val="Paragraphedeliste"/>
              <w:numPr>
                <w:ilvl w:val="0"/>
                <w:numId w:val="5"/>
              </w:numPr>
              <w:jc w:val="both"/>
            </w:pPr>
            <w:r>
              <w:t xml:space="preserve">Les traités philosophiques et l’Encyclopédie de Diderot et d’Alembert. </w:t>
            </w:r>
          </w:p>
        </w:tc>
        <w:tc>
          <w:tcPr>
            <w:tcW w:w="3495" w:type="dxa"/>
          </w:tcPr>
          <w:p w14:paraId="2CDF0B2E" w14:textId="4D951892" w:rsidR="00A7199F" w:rsidRPr="00BF6D3F" w:rsidRDefault="008A3A44">
            <w:pPr>
              <w:rPr>
                <w:sz w:val="20"/>
                <w:szCs w:val="20"/>
              </w:rPr>
            </w:pPr>
            <w:r w:rsidRPr="00BF6D3F">
              <w:rPr>
                <w:sz w:val="20"/>
                <w:szCs w:val="20"/>
              </w:rPr>
              <w:t xml:space="preserve">Marivaux (Pierre Carlet, dit Pierre de) </w:t>
            </w:r>
            <w:r w:rsidR="00BF6D3F">
              <w:rPr>
                <w:sz w:val="20"/>
                <w:szCs w:val="20"/>
              </w:rPr>
              <w:t>1688-17</w:t>
            </w:r>
            <w:r w:rsidR="008D6F53">
              <w:rPr>
                <w:sz w:val="20"/>
                <w:szCs w:val="20"/>
              </w:rPr>
              <w:t xml:space="preserve">63 </w:t>
            </w:r>
          </w:p>
          <w:p w14:paraId="78D51202" w14:textId="77777777" w:rsidR="00B44018" w:rsidRPr="00BF6D3F" w:rsidRDefault="00B44018">
            <w:pPr>
              <w:rPr>
                <w:sz w:val="20"/>
                <w:szCs w:val="20"/>
              </w:rPr>
            </w:pPr>
          </w:p>
          <w:p w14:paraId="6AC1B0E9" w14:textId="77777777" w:rsidR="00B44018" w:rsidRPr="00BF6D3F" w:rsidRDefault="00B44018" w:rsidP="00B44018">
            <w:pPr>
              <w:pStyle w:val="Paragraphedeliste"/>
              <w:numPr>
                <w:ilvl w:val="0"/>
                <w:numId w:val="6"/>
              </w:numPr>
              <w:rPr>
                <w:sz w:val="20"/>
                <w:szCs w:val="20"/>
              </w:rPr>
            </w:pPr>
            <w:r w:rsidRPr="00BF6D3F">
              <w:rPr>
                <w:sz w:val="20"/>
                <w:szCs w:val="20"/>
              </w:rPr>
              <w:t xml:space="preserve">Il était d’une famille du Tiers-Etat, mais se fit passer pour noble en achetant une terre dont il prit le nom. </w:t>
            </w:r>
          </w:p>
          <w:p w14:paraId="3D7E92D9" w14:textId="77777777" w:rsidR="00B44018" w:rsidRPr="00BF6D3F" w:rsidRDefault="00B44018" w:rsidP="00B44018">
            <w:pPr>
              <w:pStyle w:val="Paragraphedeliste"/>
              <w:numPr>
                <w:ilvl w:val="0"/>
                <w:numId w:val="6"/>
              </w:numPr>
              <w:rPr>
                <w:sz w:val="20"/>
                <w:szCs w:val="20"/>
              </w:rPr>
            </w:pPr>
            <w:r w:rsidRPr="00BF6D3F">
              <w:rPr>
                <w:sz w:val="20"/>
                <w:szCs w:val="20"/>
              </w:rPr>
              <w:t xml:space="preserve">Il fit un mariage riche, mais perdit tout l’argent de sa femme dans les spéculations financières hasardeuses de Law. </w:t>
            </w:r>
          </w:p>
          <w:p w14:paraId="200AEF5D" w14:textId="77777777" w:rsidR="00B44018" w:rsidRPr="00BF6D3F" w:rsidRDefault="00BF6D3F" w:rsidP="00B44018">
            <w:pPr>
              <w:pStyle w:val="Paragraphedeliste"/>
              <w:numPr>
                <w:ilvl w:val="0"/>
                <w:numId w:val="6"/>
              </w:numPr>
              <w:rPr>
                <w:sz w:val="20"/>
                <w:szCs w:val="20"/>
              </w:rPr>
            </w:pPr>
            <w:r w:rsidRPr="00BF6D3F">
              <w:rPr>
                <w:sz w:val="20"/>
                <w:szCs w:val="20"/>
              </w:rPr>
              <w:t xml:space="preserve">Il créa la formule d’une comédie fondée sur le retardement de l’aveu, et le marivaudage, art d’aimer subtil où les sentiments se disent de manière détournée. </w:t>
            </w:r>
          </w:p>
          <w:p w14:paraId="58B86C69" w14:textId="5816A3CE" w:rsidR="00BF6D3F" w:rsidRPr="00BF6D3F" w:rsidRDefault="00BF6D3F" w:rsidP="00B44018">
            <w:pPr>
              <w:pStyle w:val="Paragraphedeliste"/>
              <w:numPr>
                <w:ilvl w:val="0"/>
                <w:numId w:val="6"/>
              </w:numPr>
              <w:rPr>
                <w:sz w:val="20"/>
                <w:szCs w:val="20"/>
              </w:rPr>
            </w:pPr>
            <w:r w:rsidRPr="00BF6D3F">
              <w:rPr>
                <w:i/>
                <w:iCs/>
                <w:sz w:val="20"/>
                <w:szCs w:val="20"/>
              </w:rPr>
              <w:t>Les Fausses confidences</w:t>
            </w:r>
            <w:r w:rsidRPr="00BF6D3F">
              <w:rPr>
                <w:sz w:val="20"/>
                <w:szCs w:val="20"/>
              </w:rPr>
              <w:t xml:space="preserve"> </w:t>
            </w:r>
            <w:r>
              <w:rPr>
                <w:sz w:val="20"/>
                <w:szCs w:val="20"/>
              </w:rPr>
              <w:t xml:space="preserve">(1737) </w:t>
            </w:r>
            <w:r w:rsidRPr="00BF6D3F">
              <w:rPr>
                <w:sz w:val="20"/>
                <w:szCs w:val="20"/>
              </w:rPr>
              <w:t xml:space="preserve">firent scandale car elles supposaient la possibilité d’aimer en dehors de sa classe sociale. </w:t>
            </w:r>
          </w:p>
          <w:p w14:paraId="5678D7E2" w14:textId="426ECDC2" w:rsidR="00BF6D3F" w:rsidRPr="00BF6D3F" w:rsidRDefault="00BF6D3F" w:rsidP="00B44018">
            <w:pPr>
              <w:pStyle w:val="Paragraphedeliste"/>
              <w:numPr>
                <w:ilvl w:val="0"/>
                <w:numId w:val="6"/>
              </w:numPr>
              <w:rPr>
                <w:sz w:val="20"/>
                <w:szCs w:val="20"/>
              </w:rPr>
            </w:pPr>
            <w:r w:rsidRPr="00BF6D3F">
              <w:rPr>
                <w:sz w:val="20"/>
                <w:szCs w:val="20"/>
              </w:rPr>
              <w:t xml:space="preserve">Il fut élu à l’Académie française comme Voltaire, mais méprisé par beaucoup car on le jugeait inférieur à son concurrent. </w:t>
            </w:r>
          </w:p>
        </w:tc>
      </w:tr>
    </w:tbl>
    <w:p w14:paraId="1635F579" w14:textId="77777777" w:rsidR="00A7199F" w:rsidRPr="00B64198" w:rsidRDefault="00A7199F"/>
    <w:sectPr w:rsidR="00A7199F" w:rsidRPr="00B64198" w:rsidSect="00A7199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6C3"/>
    <w:multiLevelType w:val="hybridMultilevel"/>
    <w:tmpl w:val="CC28B6F2"/>
    <w:lvl w:ilvl="0" w:tplc="209694E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3C079B"/>
    <w:multiLevelType w:val="hybridMultilevel"/>
    <w:tmpl w:val="A62A2DA8"/>
    <w:lvl w:ilvl="0" w:tplc="5BF2CAB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F96DF1"/>
    <w:multiLevelType w:val="hybridMultilevel"/>
    <w:tmpl w:val="20A0FA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B91F71"/>
    <w:multiLevelType w:val="hybridMultilevel"/>
    <w:tmpl w:val="FF202DA8"/>
    <w:lvl w:ilvl="0" w:tplc="43322522">
      <w:start w:val="5"/>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AA25CE7"/>
    <w:multiLevelType w:val="hybridMultilevel"/>
    <w:tmpl w:val="714043D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E9729EA"/>
    <w:multiLevelType w:val="hybridMultilevel"/>
    <w:tmpl w:val="B63A64E4"/>
    <w:lvl w:ilvl="0" w:tplc="60F04580">
      <w:start w:val="16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8055789">
    <w:abstractNumId w:val="5"/>
  </w:num>
  <w:num w:numId="2" w16cid:durableId="2062366346">
    <w:abstractNumId w:val="2"/>
  </w:num>
  <w:num w:numId="3" w16cid:durableId="1866598230">
    <w:abstractNumId w:val="0"/>
  </w:num>
  <w:num w:numId="4" w16cid:durableId="196045214">
    <w:abstractNumId w:val="1"/>
  </w:num>
  <w:num w:numId="5" w16cid:durableId="498622470">
    <w:abstractNumId w:val="3"/>
  </w:num>
  <w:num w:numId="6" w16cid:durableId="1621456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95"/>
    <w:rsid w:val="000C215C"/>
    <w:rsid w:val="00642095"/>
    <w:rsid w:val="006947B0"/>
    <w:rsid w:val="00792F93"/>
    <w:rsid w:val="008A3A44"/>
    <w:rsid w:val="008D6F53"/>
    <w:rsid w:val="00A7199F"/>
    <w:rsid w:val="00B44018"/>
    <w:rsid w:val="00B64198"/>
    <w:rsid w:val="00BF6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E4C8"/>
  <w15:chartTrackingRefBased/>
  <w15:docId w15:val="{AEBB7ADD-DB64-434C-8ACC-160EE380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7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1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663</Words>
  <Characters>3648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5</cp:revision>
  <dcterms:created xsi:type="dcterms:W3CDTF">2022-12-14T14:24:00Z</dcterms:created>
  <dcterms:modified xsi:type="dcterms:W3CDTF">2022-12-14T15:24:00Z</dcterms:modified>
</cp:coreProperties>
</file>